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F7" w:rsidRDefault="00516941">
      <w:pPr>
        <w:spacing w:after="0" w:line="259" w:lineRule="auto"/>
        <w:ind w:left="0" w:right="-31" w:firstLine="0"/>
        <w:jc w:val="right"/>
      </w:pPr>
      <w:r>
        <w:rPr>
          <w:sz w:val="24"/>
        </w:rPr>
        <w:t xml:space="preserve">            </w:t>
      </w:r>
    </w:p>
    <w:p w:rsidR="00AE7CF7" w:rsidRDefault="00516941">
      <w:pPr>
        <w:tabs>
          <w:tab w:val="center" w:pos="3021"/>
          <w:tab w:val="center" w:pos="7867"/>
        </w:tabs>
        <w:spacing w:after="0" w:line="259" w:lineRule="auto"/>
        <w:ind w:left="0" w:firstLine="0"/>
        <w:jc w:val="left"/>
      </w:pPr>
      <w:r>
        <w:t xml:space="preserve">«Утверждено» </w:t>
      </w:r>
    </w:p>
    <w:p w:rsidR="00AE7CF7" w:rsidRDefault="00516941">
      <w:pPr>
        <w:ind w:left="-5" w:right="705"/>
      </w:pPr>
      <w:r>
        <w:t xml:space="preserve">Приказом генерального директора от </w:t>
      </w:r>
      <w:r w:rsidR="007F3094">
        <w:t>01.06.2024</w:t>
      </w:r>
      <w:r>
        <w:t xml:space="preserve"> </w:t>
      </w:r>
    </w:p>
    <w:p w:rsidR="00AE7CF7" w:rsidRDefault="00516941">
      <w:pPr>
        <w:ind w:left="-5" w:right="705"/>
      </w:pPr>
      <w:r>
        <w:t xml:space="preserve">Общества с ограниченной ответственностью </w:t>
      </w:r>
    </w:p>
    <w:p w:rsidR="00AE7CF7" w:rsidRDefault="00516941">
      <w:pPr>
        <w:ind w:left="-5" w:right="705"/>
      </w:pPr>
      <w:proofErr w:type="spellStart"/>
      <w:r>
        <w:t>Микрокредитная</w:t>
      </w:r>
      <w:proofErr w:type="spellEnd"/>
      <w:r>
        <w:t xml:space="preserve"> компания «</w:t>
      </w:r>
      <w:proofErr w:type="spellStart"/>
      <w:r w:rsidR="007F3094">
        <w:t>ВипЗайм</w:t>
      </w:r>
      <w:proofErr w:type="spellEnd"/>
      <w:r>
        <w:t xml:space="preserve">» </w:t>
      </w:r>
    </w:p>
    <w:p w:rsidR="00AE7CF7" w:rsidRDefault="00516941">
      <w:pPr>
        <w:spacing w:after="12" w:line="259" w:lineRule="auto"/>
        <w:ind w:left="20" w:firstLine="0"/>
        <w:jc w:val="center"/>
      </w:pPr>
      <w:r>
        <w:rPr>
          <w:sz w:val="24"/>
        </w:rPr>
        <w:t xml:space="preserve"> </w:t>
      </w:r>
    </w:p>
    <w:p w:rsidR="00AE7CF7" w:rsidRDefault="0051694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E7CF7" w:rsidRPr="007F3094" w:rsidRDefault="00516941">
      <w:pPr>
        <w:pStyle w:val="1"/>
        <w:rPr>
          <w:b/>
        </w:rPr>
      </w:pPr>
      <w:bookmarkStart w:id="0" w:name="_GoBack"/>
      <w:r w:rsidRPr="007F3094">
        <w:rPr>
          <w:b/>
        </w:rPr>
        <w:t xml:space="preserve">Положение по рассмотрению обращений получателей финансовых услуг  </w:t>
      </w:r>
    </w:p>
    <w:bookmarkEnd w:id="0"/>
    <w:p w:rsidR="00AE7CF7" w:rsidRDefault="00516941">
      <w:pPr>
        <w:spacing w:after="0" w:line="237" w:lineRule="auto"/>
        <w:ind w:left="0" w:right="551" w:firstLine="0"/>
        <w:jc w:val="left"/>
      </w:pPr>
      <w:r>
        <w:t xml:space="preserve">В соответствии с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>Общие положения</w:t>
      </w:r>
      <w:r>
        <w:t xml:space="preserve">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Положение устанавливает единые правила работы с обращениями физических и юридических лиц — получателей финансовых услуг в ООО МКК «</w:t>
      </w:r>
      <w:proofErr w:type="spellStart"/>
      <w:r w:rsidR="007F3094">
        <w:t>ВипЗайм</w:t>
      </w:r>
      <w:proofErr w:type="spellEnd"/>
      <w:r>
        <w:t>» (далее – Общество), включая документирование деятельности, ведение документооборота, регистрацию, контроль за ис</w:t>
      </w:r>
      <w:r>
        <w:t xml:space="preserve">полнением и хранением документов.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Положение является локальным нормативным документом Общества, утверждается генеральным директором Общества и имеет обязательный характер для всех сотрудников.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Настоящее Положение подлежит размещению на официальном сайте Общества</w:t>
      </w:r>
      <w:hyperlink r:id="rId7">
        <w:r>
          <w:t xml:space="preserve"> </w:t>
        </w:r>
      </w:hyperlink>
      <w:hyperlink r:id="rId8">
        <w:r>
          <w:rPr>
            <w:color w:val="0463C1"/>
            <w:u w:val="single" w:color="0463C1"/>
          </w:rPr>
          <w:t>https</w:t>
        </w:r>
      </w:hyperlink>
      <w:hyperlink r:id="rId9">
        <w:r>
          <w:rPr>
            <w:color w:val="0463C1"/>
            <w:u w:val="single" w:color="0463C1"/>
          </w:rPr>
          <w:t>://</w:t>
        </w:r>
      </w:hyperlink>
      <w:r w:rsidR="007F3094">
        <w:rPr>
          <w:color w:val="0463C1"/>
          <w:u w:val="single" w:color="0463C1"/>
        </w:rPr>
        <w:t>____________</w:t>
      </w:r>
      <w:hyperlink r:id="rId10">
        <w:r>
          <w:t xml:space="preserve"> </w:t>
        </w:r>
      </w:hyperlink>
      <w:r>
        <w:t xml:space="preserve">для ознакомления всех получателей финансовых услуг на равных правах и в равном объеме.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За единый порядок документирования и организацию работы с доку</w:t>
      </w:r>
      <w:r>
        <w:t xml:space="preserve">ментами в Обществе отвечает генеральный директор.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Ответственность за работу с обращениями физических и юридических лиц - получателей финансовых услуг возлагается генерального директора.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Сотрудники Общества несут персональную ответственность за выполнение</w:t>
      </w:r>
      <w:r>
        <w:t xml:space="preserve"> требований инструкции, своевременное рассмотрение и исполнение документов, их правильное оформление и сохранность 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 xml:space="preserve">Термины, определения, сокращения и обозначения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В настоящей Инструкции применены следующие термины с соответствующими определениями: </w:t>
      </w:r>
    </w:p>
    <w:p w:rsidR="00AE7CF7" w:rsidRDefault="00516941">
      <w:pPr>
        <w:ind w:left="-5" w:right="705"/>
      </w:pPr>
      <w:r>
        <w:t xml:space="preserve">— </w:t>
      </w:r>
      <w:r>
        <w:t>Обращение – направленное в микрофинансовую организацию получателем финансовой услуги, представителем получателя финансовой услуги, Банком России или иным уполномоченным органом или лицом в письменной форме на бумажном носителе или в виде электронного докум</w:t>
      </w:r>
      <w:r>
        <w:t xml:space="preserve">ента заявление, жалоба, просьба или предложение, касающееся оказания микрофинансовой организацией финансовых услуг. </w:t>
      </w:r>
    </w:p>
    <w:p w:rsidR="00AE7CF7" w:rsidRDefault="00516941">
      <w:pPr>
        <w:ind w:left="-5" w:right="705"/>
      </w:pPr>
      <w:r>
        <w:t>— Получатель финансовой услуги – физическое лицо или юридическое лицо, обратившееся в микрофинансовую организацию с намерением получить, по</w:t>
      </w:r>
      <w:r>
        <w:t xml:space="preserve">лучающее или получившее финансовую услугу, клиент Общества. </w:t>
      </w:r>
    </w:p>
    <w:p w:rsidR="00AE7CF7" w:rsidRDefault="00516941">
      <w:pPr>
        <w:ind w:left="-5" w:right="705"/>
      </w:pPr>
      <w:r>
        <w:t xml:space="preserve">— Финансовые услуги – услуги по предоставлению микрозаймов получателям финансовых услуг. </w:t>
      </w:r>
    </w:p>
    <w:p w:rsidR="00AE7CF7" w:rsidRDefault="00516941">
      <w:pPr>
        <w:ind w:left="-5" w:right="705"/>
      </w:pPr>
      <w:r>
        <w:t xml:space="preserve">— Базовый стандарт – Базовый </w:t>
      </w:r>
      <w:r>
        <w:t xml:space="preserve">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организации, утвержденный Банком России 22.06.2017 г.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 xml:space="preserve">Прием, регистрация и рассмотрение обращений потребителей финансовых услуг.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Прием обращений  </w:t>
      </w:r>
    </w:p>
    <w:p w:rsidR="007F3094" w:rsidRDefault="00516941">
      <w:pPr>
        <w:numPr>
          <w:ilvl w:val="2"/>
          <w:numId w:val="1"/>
        </w:numPr>
        <w:ind w:right="705" w:hanging="500"/>
      </w:pPr>
      <w:r>
        <w:t>Обращение в Общество от потребителя финансовых услуг, может поступить одним из нижеперечисленных способов:</w:t>
      </w:r>
    </w:p>
    <w:p w:rsidR="00AE7CF7" w:rsidRDefault="00516941" w:rsidP="007F3094">
      <w:pPr>
        <w:ind w:left="-142" w:right="705" w:firstLine="0"/>
      </w:pPr>
      <w:r>
        <w:t xml:space="preserve"> — на адрес электронной почты. </w:t>
      </w:r>
    </w:p>
    <w:p w:rsidR="00AE7CF7" w:rsidRDefault="00516941">
      <w:pPr>
        <w:ind w:left="-5" w:right="705"/>
      </w:pPr>
      <w:r>
        <w:t>— почтой посредством АО</w:t>
      </w:r>
      <w:r>
        <w:t xml:space="preserve"> «Почта России». </w:t>
      </w:r>
    </w:p>
    <w:p w:rsidR="007F3094" w:rsidRDefault="00516941">
      <w:pPr>
        <w:ind w:left="-5" w:right="705"/>
      </w:pPr>
      <w:r>
        <w:t xml:space="preserve">— непосредственно по юридическому адресу </w:t>
      </w:r>
    </w:p>
    <w:p w:rsidR="00AE7CF7" w:rsidRDefault="00516941">
      <w:pPr>
        <w:ind w:left="-5" w:right="705"/>
      </w:pPr>
      <w:r>
        <w:t xml:space="preserve">— в устной форме.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Регистрация обращений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Действия ответственного сотрудника: </w:t>
      </w:r>
    </w:p>
    <w:p w:rsidR="00AE7CF7" w:rsidRDefault="00516941">
      <w:pPr>
        <w:ind w:left="-5" w:right="705"/>
      </w:pPr>
      <w:r>
        <w:t xml:space="preserve">— проверяет полноту изложения информации в обращении в соответствие с требованиями Базового стандарта </w:t>
      </w:r>
    </w:p>
    <w:p w:rsidR="00AE7CF7" w:rsidRDefault="00516941">
      <w:pPr>
        <w:ind w:left="-5" w:right="705"/>
      </w:pPr>
      <w:r>
        <w:t>— регистрируе</w:t>
      </w:r>
      <w:r>
        <w:t xml:space="preserve">т обращение в «Журнале регистрации обращений получателей финансовых услуг» и проставляет входящий номер на документе. </w:t>
      </w:r>
    </w:p>
    <w:p w:rsidR="00AE7CF7" w:rsidRDefault="00516941">
      <w:pPr>
        <w:ind w:left="-5" w:right="705"/>
      </w:pPr>
      <w:r>
        <w:t xml:space="preserve">— проставляет входящий </w:t>
      </w:r>
      <w:r>
        <w:t xml:space="preserve">номер на втором экземпляре обращения и передает его клиенту любым доступным способом. </w:t>
      </w:r>
      <w:r w:rsidR="007F3094">
        <w:br/>
      </w:r>
      <w:r>
        <w:t xml:space="preserve">— ставит на контроль подготовку ответа в установленные Базовым стандартом сроки.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Рассмотрение обращений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>При рассмотрении обращений клиентов Общество руководствуется до</w:t>
      </w:r>
      <w:r>
        <w:t xml:space="preserve">ступностью, объективностью, беспристрастностью, предполагающими информированность клиента.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Ответ на обращение подписывается единоличным исполнительным органом или иным уполномоченным представителем Общества.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>Ответ на обращение получателя финансовой услуг</w:t>
      </w:r>
      <w:r>
        <w:t xml:space="preserve">и Общество направляет по адресу, предоставленному ему получателем финансовой услуги при заключении договора об оказании </w:t>
      </w:r>
      <w:r>
        <w:lastRenderedPageBreak/>
        <w:t>финансовой услуги или по адресу, сообщенному получателем финансовой услуги в порядке изменения персональных данных в соответствии с треб</w:t>
      </w:r>
      <w:r>
        <w:t xml:space="preserve">ованиями Федерального закона от 27.06.2006 г. </w:t>
      </w:r>
      <w:proofErr w:type="spellStart"/>
      <w:r>
        <w:t>No</w:t>
      </w:r>
      <w:proofErr w:type="spellEnd"/>
      <w:r>
        <w:t xml:space="preserve"> 152-ФЗ «О персональных данных», в соответствии с условиями договора, заключенного с получателем финансовой услуги или в соответствии с внутренним документом о персональных данных, утвержденным Обществом. В с</w:t>
      </w:r>
      <w:r>
        <w:t>лучае направления обращения от имени получателя финансовой услуги его представителем, действующим на основании нотариально удостоверенной доверенности, или адвокатом ответ на такое обращение Общество направляет по адресу, указанному представителем или адво</w:t>
      </w:r>
      <w:r>
        <w:t xml:space="preserve">катом в таком обращении, с копией по адресу, предоставленному Обществу получателем финансовой услуги при заключении договора об оказании финансовой услуги, с учетом требований и норм, установленных настоящим пунктом.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>Общество обязано отвечать на каждое по</w:t>
      </w:r>
      <w:r>
        <w:t>лученное им обращение, за исключением направления обращения от имени получателя финансовой услуги его представителем без предоставления документа, подтверждающего полномочия представителя. Полномочия представителя подтверждаются: 1) для физических лиц: про</w:t>
      </w:r>
      <w:r>
        <w:t>стая письменная доверенность (если иная форма не предусмотрена договором об оказании финансовой услуги),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</w:t>
      </w:r>
      <w:r>
        <w:t>начении лица опекуном (попечителем); 2) 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</w:t>
      </w:r>
      <w:r>
        <w:t xml:space="preserve">исанная руководителем получателя финансовой услуги.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В силу требований Федерального закона от 03.07.2016 г. </w:t>
      </w:r>
      <w:proofErr w:type="spellStart"/>
      <w:r>
        <w:t>No</w:t>
      </w:r>
      <w:proofErr w:type="spellEnd"/>
      <w:r>
        <w:t xml:space="preserve"> 230-ФЗ «О защите прав и законных интересов физических лиц при осуществлении деятельности по возврату просроченной задолженности и о внесении изме</w:t>
      </w:r>
      <w:r>
        <w:t>нений в Федеральный закон «О микрофинансовой деятельности и микрофинансовых организациях» при наличии просроченной задолженности представителем получателя финансовой услуги для взаимодействия с Обществом может быть только адвокат, полномочия которого подтв</w:t>
      </w:r>
      <w:r>
        <w:t xml:space="preserve">ерждаются в том числе, но не ограничиваясь, адвокатским ордером либо информацией о том, в какой адвокатской конторе состоит представитель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>Требования к обращениям: Обращение получателя финансовой услуги должно содержать в отношении получателя финансовой у</w:t>
      </w:r>
      <w:r>
        <w:t>слуги, являющегося физическим лицом, фамилию, имя. Отчество (при наличии), адрес (почтовый и/или электронный) для направления ответа на обращение; в отношении получателя финансовой услуги, являющегося юридическим лицом, полное наименование и место нахожден</w:t>
      </w:r>
      <w:r>
        <w:t xml:space="preserve">ия юридического лица, а также подпись уполномоченного представителя юридического лица.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Рекомендовано включить в обращение: </w:t>
      </w:r>
    </w:p>
    <w:p w:rsidR="00AE7CF7" w:rsidRDefault="00516941">
      <w:pPr>
        <w:ind w:left="-5" w:right="705"/>
      </w:pPr>
      <w:r>
        <w:t xml:space="preserve">— номер договора, заключенного между получателем финансовой услуги и Обществом </w:t>
      </w:r>
    </w:p>
    <w:p w:rsidR="00AE7CF7" w:rsidRDefault="00516941">
      <w:pPr>
        <w:ind w:left="-5" w:right="705"/>
      </w:pPr>
      <w:r>
        <w:t>— изложение существа требований и фактических обсто</w:t>
      </w:r>
      <w:r>
        <w:t xml:space="preserve">ятельств, на которых основаны заявленные требования, а также доказательства, подтверждающие эти обстоятельства; </w:t>
      </w:r>
    </w:p>
    <w:p w:rsidR="00AE7CF7" w:rsidRDefault="00516941">
      <w:pPr>
        <w:ind w:left="-5" w:right="705"/>
      </w:pPr>
      <w:r>
        <w:t xml:space="preserve">— наименование органа, должность, фамилии, имени и отчества (при наличии) работника Общества, действия / бездействие которого обжалуются; </w:t>
      </w:r>
    </w:p>
    <w:p w:rsidR="00AE7CF7" w:rsidRDefault="00516941">
      <w:pPr>
        <w:ind w:left="-5" w:right="705"/>
      </w:pPr>
      <w:r>
        <w:t>— ин</w:t>
      </w:r>
      <w:r>
        <w:t xml:space="preserve">ые сведения, которые получатель финансовой услуги считает необходимым сообщить; копии документов, подтверждающих изложенные в обращении обстоятельства. В этом случае в обращении приводится перечень прилагаемых к нему документов.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>Общество вправе отказать в</w:t>
      </w:r>
      <w:r>
        <w:t xml:space="preserve"> рассмотрении обращения получателя финансовой услуги по существу в следующих случаях: </w:t>
      </w:r>
    </w:p>
    <w:p w:rsidR="00AE7CF7" w:rsidRDefault="00516941">
      <w:pPr>
        <w:ind w:left="-5" w:right="705"/>
      </w:pPr>
      <w:r>
        <w:t>—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 – фамилия, имя, о</w:t>
      </w:r>
      <w:r>
        <w:t>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</w:t>
      </w:r>
      <w:r>
        <w:t xml:space="preserve">м, полное наименование и местонахождение юридического лица). — отсутствует подпись уполномоченного представителя. </w:t>
      </w:r>
    </w:p>
    <w:p w:rsidR="00AE7CF7" w:rsidRDefault="00516941">
      <w:pPr>
        <w:ind w:left="-5" w:right="705"/>
      </w:pPr>
      <w:r>
        <w:t>— в обращении содержатся нецензурные либо оскорбительные выражения, угрозы имуществу Общества, имуществу, жизни и/или здоровью работников Общ</w:t>
      </w:r>
      <w:r>
        <w:t xml:space="preserve">ества, а также членов их семей. </w:t>
      </w:r>
    </w:p>
    <w:p w:rsidR="00AE7CF7" w:rsidRDefault="00516941">
      <w:pPr>
        <w:ind w:left="-5" w:right="705"/>
      </w:pPr>
      <w:r>
        <w:t xml:space="preserve">— текст письменного обращения не поддается прочтению. </w:t>
      </w:r>
    </w:p>
    <w:p w:rsidR="00AE7CF7" w:rsidRDefault="00516941">
      <w:pPr>
        <w:ind w:left="-5" w:right="705"/>
      </w:pPr>
      <w:r>
        <w:t xml:space="preserve">— в обращении содержится вопрос, на который получателю финансовой услуги ранее предоставлялся письменный ответ по существу и при этом, во вновь полученном обращении не </w:t>
      </w:r>
      <w:r>
        <w:t xml:space="preserve">приводятся новые доводы или обстоятельства, о чем уведомляется лицо, направившее обращение. </w:t>
      </w:r>
    </w:p>
    <w:p w:rsidR="00AE7CF7" w:rsidRDefault="00516941">
      <w:pPr>
        <w:ind w:left="-5" w:right="705"/>
      </w:pPr>
      <w:r>
        <w:t xml:space="preserve">3.3.9. Общество обязано рассмотреть обращение получателя финансовой услуги по существу после устранения причин для отказа в рассмотрении обращения  </w:t>
      </w:r>
    </w:p>
    <w:p w:rsidR="00AE7CF7" w:rsidRDefault="00516941">
      <w:pPr>
        <w:ind w:left="-5" w:right="705"/>
      </w:pPr>
      <w:r>
        <w:t>3.3.10. Обраще</w:t>
      </w:r>
      <w:r>
        <w:t xml:space="preserve">ние, в котором обжалуется судебное решение, возвращается лицу. Направившему обращение, с указанием на судебный порядок обжалования данного судебного решения. </w:t>
      </w:r>
    </w:p>
    <w:p w:rsidR="00AE7CF7" w:rsidRDefault="00516941">
      <w:pPr>
        <w:ind w:left="-5" w:right="705"/>
      </w:pPr>
      <w:r>
        <w:t>3.3.11. Обращения и документы по их рассмотрению хранятся Обществом в течение 1 (одного) года с д</w:t>
      </w:r>
      <w:r>
        <w:t xml:space="preserve">аты их регистрации в «Журнале регистрации обращений получателей финансовых услуг». Обращения получателей финансовых услуг, их копии, документы по их рассмотрению, ответы являются конфиденциальными, кроме случаев получения запросов от </w:t>
      </w:r>
      <w:r>
        <w:lastRenderedPageBreak/>
        <w:t>уполномоченных государ</w:t>
      </w:r>
      <w:r>
        <w:t xml:space="preserve">ственных органов и органов местного самоуправления, саморегулируемой организации, касающихся получателя финансовой услуги и/или его обращения.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t xml:space="preserve">Сроки рассмотрения обращений 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>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«Журнале регистрации обращений получателей  финансовых услуг», однако в любом случае не п</w:t>
      </w:r>
      <w:r>
        <w:t xml:space="preserve">озднее, чем со следующего дня после истечения предельного срока для регистрации обращения в «Журнале регистрации обращений». В случае если получатель финансовой услуги не предоставил информацию и (или) документы, необходимые и достаточные для рассмотрения </w:t>
      </w:r>
      <w:r>
        <w:t>обращения по существу, ответственный специалист обязан в течение 12 (двенадцати) рабочих дней запросить у получателя финансовой услуги недостающую информацию и (или) документы. При этом в случае предоставления недостающей информации и (или) документов полу</w:t>
      </w:r>
      <w:r>
        <w:t xml:space="preserve">чателем финансовой услуги, микрофинансовая организация обязана рассмотреть обращение в течение 5 (пяти) рабочих дней с даты получения запрошенной информации и (или) документов.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Полученное в устной форме обращение получателя финансовой услуги относительно </w:t>
      </w:r>
      <w:r>
        <w:t xml:space="preserve">текущего размера задолженности, возникшей из договора об оказании Обществом финансовой услуги, подлежит рассмотрению в день обращения. При этом такое обращение не фиксируется в «Журнале регистрации обращений получателей финансовых услуг».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>Сроки направлени</w:t>
      </w:r>
      <w:r>
        <w:t xml:space="preserve">я запрашиваемых документов: 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8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800"/>
        <w:gridCol w:w="1934"/>
      </w:tblGrid>
      <w:tr w:rsidR="00AE7CF7">
        <w:trPr>
          <w:trHeight w:val="24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документа, запрашиваемого клиентом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AE7CF7">
        <w:trPr>
          <w:trHeight w:val="235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line="232" w:lineRule="auto"/>
              <w:ind w:left="0" w:right="125" w:firstLine="0"/>
            </w:pPr>
            <w:r>
              <w:t xml:space="preserve">— Подписанный сторонами документ, содержащий индивидуальные условия договора об оказании финансовой услуги. </w:t>
            </w:r>
          </w:p>
          <w:p w:rsidR="00AE7CF7" w:rsidRDefault="00516941">
            <w:pPr>
              <w:spacing w:after="0" w:line="237" w:lineRule="auto"/>
              <w:ind w:left="0" w:right="376" w:firstLine="0"/>
            </w:pPr>
            <w:r>
              <w:t xml:space="preserve">— </w:t>
            </w:r>
            <w:r>
              <w:t xml:space="preserve">Подписанное получателем финансовой услуги заявление на предоставление займа. — Документ, подтверждающий выдачу получателю финансовой услуги займа (ордер, платежное поручение, справка о перечислении денежных средств на электронное средство платежа). </w:t>
            </w:r>
          </w:p>
          <w:p w:rsidR="00AE7CF7" w:rsidRDefault="00516941">
            <w:pPr>
              <w:spacing w:after="43" w:line="237" w:lineRule="auto"/>
              <w:ind w:left="0" w:right="376" w:firstLine="0"/>
            </w:pPr>
            <w:r>
              <w:t>— Согл</w:t>
            </w:r>
            <w:r>
              <w:t xml:space="preserve">асия, предоставленные получателем финансовой услуги во исполнение действующего законодательства Российской Федерации, регулирующего порядок взыскания просроченной задолженности. </w:t>
            </w:r>
          </w:p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10 рабочих дней со дня регистрации запроса  </w:t>
            </w:r>
          </w:p>
        </w:tc>
      </w:tr>
      <w:tr w:rsidR="00AE7CF7">
        <w:trPr>
          <w:trHeight w:val="9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37" w:lineRule="auto"/>
              <w:ind w:left="0" w:firstLine="0"/>
            </w:pPr>
            <w:r>
              <w:t>Документ, подтверждающий</w:t>
            </w:r>
            <w:r>
              <w:t xml:space="preserve"> полное исполнение получателем финансовой услуги обязательств по договору об оказании финансовой услуги  </w:t>
            </w:r>
          </w:p>
          <w:p w:rsidR="00AE7CF7" w:rsidRDefault="00516941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 рабочий день со дня регистрации запроса  </w:t>
            </w:r>
          </w:p>
        </w:tc>
      </w:tr>
      <w:tr w:rsidR="00AE7CF7">
        <w:trPr>
          <w:trHeight w:val="6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Иные требования или вопросы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12 рабочих дней </w:t>
            </w:r>
            <w:r>
              <w:t xml:space="preserve">со дня регистрации запроса  </w:t>
            </w:r>
          </w:p>
        </w:tc>
      </w:tr>
    </w:tbl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В случае если получатель финансовой </w:t>
      </w:r>
      <w:r>
        <w:t>услуги не предоставил информацию и (или) документы, необходимые и достаточные для рассмотрения обращения по существу, сотрудник центрального офиса в течение 12 (двенадцати) рабочих дней запрашивает у получателя финансовой услуги недостающую информацию и (и</w:t>
      </w:r>
      <w:r>
        <w:t>ли) документы. При этом в случае предоставления недостающей информации и (или) документов получателем финансовой услуги, Ответственный сотрудник рассматривает обращение в течение 5 (пяти) рабочих дней с даты получения запрошенной информации и (или) докумен</w:t>
      </w:r>
      <w:r>
        <w:t xml:space="preserve">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«Журнал регистрации обращений получателей финансовых услуг» в Обществе ведется на бумажном носителе.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t xml:space="preserve">Подготовка ответа на обращение.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>В целях координации деятельности Общества по подготовке и направлению ответов заявителям приказом генерального ди</w:t>
      </w:r>
      <w:r>
        <w:t xml:space="preserve">ректора Общества назначается ответственное лицо.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Ответственное лицо, рассматривает обращение и принимает решение о необходимости подготовки ответа, либо направлению заявителю письмо с запросом о предоставлении дополнительной информации.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>Ответственный сот</w:t>
      </w:r>
      <w:r>
        <w:t>рудник, готовит ответ получателю финансовой услуги, в котором приводится разъяснение, какие действия принимаются микрофинансовой организацией по обращению и какие действия должен предпринять получатель финансовой услуги (если они необходимы). Если ответств</w:t>
      </w:r>
      <w:r>
        <w:t xml:space="preserve">енный сотрудник полагает, что обращение не может быть удовлетворено и имеет полномочия для принятия соответствующего решения, то он готовит мотивированный ответ с указанием причин отказа.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>Если иное не указано в обращении получателя финансовых услуг, ответ</w:t>
      </w:r>
      <w:r>
        <w:t xml:space="preserve"> на обращение направляется получателю финансовой услуги по почте заказным отправлением с уведомлением о вручении или простым почтовым отправлением, с отметкой о регистрации ответа в «Журнале регистрации обращений получателей финансовых услуг».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lastRenderedPageBreak/>
        <w:t>Требовани</w:t>
      </w:r>
      <w:r>
        <w:t xml:space="preserve">я к содержанию обращения потребителя финансовых услуг.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В обращение заявителя (получателя финансовых услуг) рекомендуется включить следующую информацию и документы (при их наличии): </w:t>
      </w:r>
    </w:p>
    <w:p w:rsidR="00AE7CF7" w:rsidRDefault="00516941">
      <w:pPr>
        <w:ind w:left="-5" w:right="705"/>
      </w:pPr>
      <w:r>
        <w:t>— номер договора, заключенного между получателем финансовой услуги и микр</w:t>
      </w:r>
      <w:r>
        <w:t xml:space="preserve">офинансовой организацией. </w:t>
      </w:r>
    </w:p>
    <w:p w:rsidR="00AE7CF7" w:rsidRDefault="00516941">
      <w:pPr>
        <w:ind w:left="-5" w:right="705"/>
      </w:pPr>
      <w:r>
        <w:t>—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 — наименование органа, должности, фамилии, имени и отчества (при на</w:t>
      </w:r>
      <w:r>
        <w:t xml:space="preserve">личии) работника микрофинансовой организации, действия (бездействие) которого обжалуются. </w:t>
      </w:r>
    </w:p>
    <w:p w:rsidR="00AE7CF7" w:rsidRDefault="00516941">
      <w:pPr>
        <w:ind w:left="-5" w:right="705"/>
      </w:pPr>
      <w:r>
        <w:t>— иные сведения, которые получатель финансовой услуги считает необходимым сообщить — копии документов, подтверждающих изложенные в обращении обстоятельства. В этом с</w:t>
      </w:r>
      <w:r>
        <w:t xml:space="preserve">лучае в обращении приводится перечень прилагаемых к нему документов.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Основания для отказа в рассмотрении обращения по существу:  </w:t>
      </w:r>
    </w:p>
    <w:p w:rsidR="00AE7CF7" w:rsidRDefault="00516941">
      <w:pPr>
        <w:ind w:left="-5" w:right="705"/>
      </w:pPr>
      <w:r>
        <w:t>6.2.1. В соответствие с Базовым стандартом (ст.18 п.9) Микрофинансовая организация вправе отказать в рассмотрении обращения п</w:t>
      </w:r>
      <w:r>
        <w:t xml:space="preserve">олучателя финансовой услуги по существу в следующих случаях: </w:t>
      </w:r>
    </w:p>
    <w:p w:rsidR="00AE7CF7" w:rsidRDefault="00516941">
      <w:pPr>
        <w:ind w:left="-5" w:right="705"/>
      </w:pPr>
      <w:r>
        <w:t>—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лицом, фамилия, имя, отчество (при наличии), адр</w:t>
      </w:r>
      <w:r>
        <w:t>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</w:t>
      </w:r>
      <w:r>
        <w:t xml:space="preserve">есто нахождения юридического лица). </w:t>
      </w:r>
    </w:p>
    <w:p w:rsidR="00AE7CF7" w:rsidRDefault="00516941">
      <w:pPr>
        <w:ind w:left="-5" w:right="705"/>
      </w:pPr>
      <w:r>
        <w:t>— отсутствует подпись уполномоченного представителя (в отношении юридических лиц) — в обращении содержатся нецензурные либо оскорбительные выражения, угрозы имуществу микрофинансовой организации, имуществу, жизни и (или</w:t>
      </w:r>
      <w:r>
        <w:t xml:space="preserve">) здоровью работников микрофинансовой организации, а также членов их семей. </w:t>
      </w:r>
    </w:p>
    <w:p w:rsidR="00AE7CF7" w:rsidRDefault="00516941">
      <w:pPr>
        <w:ind w:left="-5" w:right="705"/>
      </w:pPr>
      <w:r>
        <w:t xml:space="preserve">— текст письменного обращения не поддается прочтению. </w:t>
      </w:r>
    </w:p>
    <w:p w:rsidR="00AE7CF7" w:rsidRDefault="00516941">
      <w:pPr>
        <w:ind w:left="-5" w:right="705"/>
      </w:pPr>
      <w:r>
        <w:t xml:space="preserve">— в обращении содержится вопрос, на который получателю финансовой услуги ранее предоставлялся письменный ответ по существу, </w:t>
      </w:r>
      <w:r>
        <w:t xml:space="preserve">и при этом во вновь полученном обращении не приводятся новые доводы или обстоятельства, о чем уведомляется лицо, направившее обращение.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3"/>
        </w:numPr>
        <w:ind w:right="705" w:hanging="200"/>
      </w:pPr>
      <w:r>
        <w:t xml:space="preserve">Заключительные положения.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 xml:space="preserve">Настоящее </w:t>
      </w:r>
      <w:r>
        <w:t xml:space="preserve">Положение вступает в силу с момента ее утверждения Генеральным директором Общества и действует без ограничения срока.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 xml:space="preserve">Настоящая Положение применяется в головном офисе и во всех обособленных подразделениях Общества 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>Иные положения, не предусмотренные наст</w:t>
      </w:r>
      <w:r>
        <w:t>оящим Положением, разрешаются с учетом требований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</w:t>
      </w:r>
      <w:r>
        <w:t xml:space="preserve">ые организации и действующего законодательства Российской Федерации.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sectPr w:rsidR="00AE7CF7">
      <w:footerReference w:type="even" r:id="rId11"/>
      <w:footerReference w:type="default" r:id="rId12"/>
      <w:footerReference w:type="first" r:id="rId13"/>
      <w:pgSz w:w="11899" w:h="16838"/>
      <w:pgMar w:top="728" w:right="0" w:bottom="1051" w:left="7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941" w:rsidRDefault="00516941">
      <w:pPr>
        <w:spacing w:after="0" w:line="240" w:lineRule="auto"/>
      </w:pPr>
      <w:r>
        <w:separator/>
      </w:r>
    </w:p>
  </w:endnote>
  <w:endnote w:type="continuationSeparator" w:id="0">
    <w:p w:rsidR="00516941" w:rsidRDefault="0051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941" w:rsidRDefault="00516941">
      <w:pPr>
        <w:spacing w:after="0" w:line="240" w:lineRule="auto"/>
      </w:pPr>
      <w:r>
        <w:separator/>
      </w:r>
    </w:p>
  </w:footnote>
  <w:footnote w:type="continuationSeparator" w:id="0">
    <w:p w:rsidR="00516941" w:rsidRDefault="0051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642F"/>
    <w:multiLevelType w:val="multilevel"/>
    <w:tmpl w:val="68B2E2C0"/>
    <w:lvl w:ilvl="0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96E1C"/>
    <w:multiLevelType w:val="multilevel"/>
    <w:tmpl w:val="D6089D42"/>
    <w:lvl w:ilvl="0">
      <w:start w:val="7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624BA"/>
    <w:multiLevelType w:val="multilevel"/>
    <w:tmpl w:val="676C232E"/>
    <w:lvl w:ilvl="0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F7"/>
    <w:rsid w:val="00516941"/>
    <w:rsid w:val="007F3094"/>
    <w:rsid w:val="00A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B09"/>
  <w15:docId w15:val="{E08F2106-6C34-4C9E-BE2D-8609472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.credi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x.cred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x.cred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x.cred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Глазов</dc:creator>
  <cp:keywords/>
  <cp:lastModifiedBy>Виктор Глазов</cp:lastModifiedBy>
  <cp:revision>2</cp:revision>
  <dcterms:created xsi:type="dcterms:W3CDTF">2024-06-26T13:14:00Z</dcterms:created>
  <dcterms:modified xsi:type="dcterms:W3CDTF">2024-06-26T13:14:00Z</dcterms:modified>
</cp:coreProperties>
</file>